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70" w:lineRule="exact"/>
        <w:jc w:val="center"/>
        <w:rPr>
          <w:rFonts w:ascii="宋体" w:hAnsi="宋体"/>
          <w:b/>
          <w:sz w:val="44"/>
          <w:szCs w:val="44"/>
        </w:rPr>
      </w:pPr>
      <w:bookmarkStart w:id="0" w:name="_Toc439834179"/>
      <w:r>
        <w:rPr>
          <w:rFonts w:hint="eastAsia" w:ascii="宋体" w:hAnsi="宋体"/>
          <w:b/>
          <w:sz w:val="44"/>
          <w:szCs w:val="44"/>
        </w:rPr>
        <w:t>北京轩宇空间科技有限公司简介</w:t>
      </w:r>
    </w:p>
    <w:p>
      <w:pPr>
        <w:spacing w:line="570" w:lineRule="exact"/>
        <w:rPr>
          <w:rFonts w:ascii="仿宋_GB2312" w:eastAsia="仿宋_GB2312"/>
          <w:b/>
          <w:sz w:val="36"/>
          <w:szCs w:val="36"/>
        </w:rPr>
      </w:pPr>
      <w:r>
        <w:rPr>
          <w:rFonts w:hint="eastAsia" w:ascii="仿宋_GB2312" w:eastAsia="仿宋_GB2312"/>
          <w:b/>
          <w:sz w:val="36"/>
          <w:szCs w:val="36"/>
        </w:rPr>
        <w:t>1.公司介绍</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sz w:val="28"/>
          <w:szCs w:val="28"/>
        </w:rPr>
      </w:pPr>
      <w:r>
        <w:rPr>
          <w:rFonts w:hint="eastAsia" w:ascii="宋体" w:hAnsi="宋体"/>
          <w:sz w:val="28"/>
          <w:szCs w:val="28"/>
        </w:rPr>
        <w:t>轩宇空间科技有限公司原为中国航天科技集团第五研究院北京控制工程研究所（502所）的全资子公司，2019年科技集团五院响应国家号召军民融合，将我司调整到五院上市体系，现为中国航天科技集团第五研究院下属上市公司【国企】。2011年3月成立，坐落在中关村。人员规模约300余人，人才队伍均为本科学历以上，其中骨干技术人员包括博士20人，硕士105人，专利及著作权47项。公司以“源于航天、军民融合、面向世界”为宗旨，开拓思路，拓宽市场，已在测控仿真、防务装备、宇航产品、智能芯片、智能装备和工业自动化等领域取得了骄人的成绩，拥有多项核心技术，形成了具有特色的产品谱系。</w:t>
      </w:r>
      <w:bookmarkStart w:id="1" w:name="_GoBack"/>
      <w:bookmarkEnd w:id="1"/>
    </w:p>
    <w:p>
      <w:pPr>
        <w:spacing w:line="360" w:lineRule="auto"/>
        <w:ind w:firstLine="548" w:firstLineChars="196"/>
        <w:jc w:val="left"/>
        <w:rPr>
          <w:rFonts w:ascii="宋体" w:hAnsi="宋体"/>
          <w:sz w:val="28"/>
          <w:szCs w:val="28"/>
        </w:rPr>
      </w:pPr>
      <w:r>
        <w:rPr>
          <w:rFonts w:hint="eastAsia" w:ascii="宋体" w:hAnsi="宋体"/>
          <w:sz w:val="28"/>
          <w:szCs w:val="28"/>
        </w:rPr>
        <w:t>公司拥有国家级高新技术企业、国家级专精特新 “小巨人”企业、空天高性能处理器芯片北京市工程研究中心、北京市专精特新“小巨人”企业、北京市“专精特新”中小企业、北京市级企业科技研究开发机构、北京市企业技术中心、北京市高精尖产业设计中心及国军标质量管理体系认证、武器装备科研生产单位保密资质认证、武器装备科研生产许可证认证、装备承制单位资格名录认证等资质。</w:t>
      </w:r>
    </w:p>
    <w:p>
      <w:pPr>
        <w:spacing w:line="360" w:lineRule="auto"/>
        <w:ind w:firstLine="548" w:firstLineChars="196"/>
        <w:jc w:val="left"/>
        <w:rPr>
          <w:rFonts w:hint="eastAsia" w:ascii="宋体" w:hAnsi="宋体"/>
          <w:sz w:val="28"/>
          <w:szCs w:val="28"/>
        </w:rPr>
      </w:pPr>
      <w:r>
        <w:rPr>
          <w:rFonts w:hint="eastAsia" w:ascii="宋体" w:hAnsi="宋体"/>
          <w:sz w:val="28"/>
          <w:szCs w:val="28"/>
        </w:rPr>
        <w:t>经过十余年的发展，公司在多个领域取得了显著成绩。年营收额突破6亿元，年研发投入3000多万。未来公司将秉承“航天品质助力民生发展，优秀团队成就卓越企业”的使命，依托强大的航天技术和品牌优势，大力发展航天技术应用产业，加速实现高新技术产业化，竭诚为国民经济建设提供优质的产品和服务。</w:t>
      </w:r>
    </w:p>
    <w:p>
      <w:pPr>
        <w:spacing w:line="570" w:lineRule="exact"/>
        <w:rPr>
          <w:rFonts w:ascii="仿宋_GB2312" w:eastAsia="仿宋_GB2312"/>
          <w:b/>
          <w:sz w:val="36"/>
          <w:szCs w:val="36"/>
        </w:rPr>
      </w:pPr>
      <w:r>
        <w:rPr>
          <w:rFonts w:hint="eastAsia" w:ascii="仿宋_GB2312" w:eastAsia="仿宋_GB2312"/>
          <w:b/>
          <w:sz w:val="36"/>
          <w:szCs w:val="36"/>
        </w:rPr>
        <w:t>2.公司为我校师生提供的保障措施</w:t>
      </w:r>
    </w:p>
    <w:p>
      <w:pPr>
        <w:spacing w:line="360" w:lineRule="auto"/>
        <w:ind w:firstLine="551" w:firstLineChars="196"/>
        <w:jc w:val="left"/>
        <w:rPr>
          <w:rFonts w:hint="eastAsia" w:ascii="宋体" w:hAnsi="宋体"/>
          <w:b/>
          <w:bCs/>
          <w:sz w:val="28"/>
          <w:szCs w:val="28"/>
          <w:lang w:val="en-US" w:eastAsia="zh-CN"/>
        </w:rPr>
      </w:pPr>
      <w:r>
        <w:rPr>
          <w:rFonts w:hint="eastAsia" w:ascii="宋体" w:hAnsi="宋体"/>
          <w:b/>
          <w:bCs/>
          <w:sz w:val="28"/>
          <w:szCs w:val="28"/>
          <w:lang w:val="en-US" w:eastAsia="zh-CN"/>
        </w:rPr>
        <w:t>公司办公环境</w:t>
      </w:r>
    </w:p>
    <w:p>
      <w:pPr>
        <w:keepNext w:val="0"/>
        <w:keepLines w:val="0"/>
        <w:pageBreakBefore w:val="0"/>
        <w:widowControl w:val="0"/>
        <w:kinsoku/>
        <w:wordWrap/>
        <w:overflowPunct/>
        <w:topLinePunct w:val="0"/>
        <w:autoSpaceDE/>
        <w:autoSpaceDN/>
        <w:bidi w:val="0"/>
        <w:adjustRightInd/>
        <w:snapToGrid/>
        <w:spacing w:line="240" w:lineRule="auto"/>
        <w:textAlignment w:val="auto"/>
      </w:pPr>
      <w:r>
        <w:drawing>
          <wp:inline distT="0" distB="0" distL="114300" distR="114300">
            <wp:extent cx="8890000" cy="6065520"/>
            <wp:effectExtent l="0" t="0" r="635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8890000" cy="60655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textAlignment w:val="auto"/>
      </w:pPr>
      <w:r>
        <w:drawing>
          <wp:inline distT="0" distB="0" distL="114300" distR="114300">
            <wp:extent cx="8886825" cy="6499225"/>
            <wp:effectExtent l="0" t="0" r="9525"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8886825" cy="6499225"/>
                    </a:xfrm>
                    <a:prstGeom prst="rect">
                      <a:avLst/>
                    </a:prstGeom>
                    <a:noFill/>
                    <a:ln>
                      <a:noFill/>
                    </a:ln>
                  </pic:spPr>
                </pic:pic>
              </a:graphicData>
            </a:graphic>
          </wp:inline>
        </w:drawing>
      </w:r>
    </w:p>
    <w:p>
      <w:pPr>
        <w:spacing w:line="360" w:lineRule="auto"/>
        <w:ind w:firstLine="551" w:firstLineChars="196"/>
        <w:jc w:val="left"/>
        <w:rPr>
          <w:rFonts w:hint="eastAsia" w:ascii="宋体" w:hAnsi="宋体"/>
          <w:b/>
          <w:bCs/>
          <w:sz w:val="28"/>
          <w:szCs w:val="28"/>
          <w:lang w:val="en-US" w:eastAsia="zh-CN"/>
        </w:rPr>
      </w:pPr>
      <w:r>
        <w:rPr>
          <w:rFonts w:hint="eastAsia" w:ascii="宋体" w:hAnsi="宋体"/>
          <w:b/>
          <w:bCs/>
          <w:sz w:val="28"/>
          <w:szCs w:val="28"/>
          <w:lang w:val="en-US" w:eastAsia="zh-CN"/>
        </w:rPr>
        <w:t>科研生产场地支持</w:t>
      </w:r>
    </w:p>
    <w:p>
      <w:pPr>
        <w:spacing w:line="360" w:lineRule="auto"/>
        <w:ind w:firstLine="548" w:firstLineChars="196"/>
        <w:jc w:val="left"/>
        <w:rPr>
          <w:rFonts w:hint="eastAsia" w:ascii="宋体" w:hAnsi="宋体"/>
          <w:sz w:val="28"/>
          <w:szCs w:val="28"/>
        </w:rPr>
      </w:pPr>
      <w:r>
        <w:rPr>
          <w:rFonts w:hint="eastAsia" w:ascii="宋体" w:hAnsi="宋体"/>
          <w:sz w:val="28"/>
          <w:szCs w:val="28"/>
          <w:lang w:val="en-US" w:eastAsia="zh-CN"/>
        </w:rPr>
        <w:t>总建筑面积 2470 平方米，达到十万级洁净标准。</w:t>
      </w:r>
    </w:p>
    <w:tbl>
      <w:tblPr>
        <w:tblStyle w:val="8"/>
        <w:tblW w:w="1421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4739"/>
        <w:gridCol w:w="4740"/>
        <w:gridCol w:w="47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Ex>
        <w:tc>
          <w:tcPr>
            <w:tcW w:w="4739" w:type="dxa"/>
            <w:tcBorders>
              <w:tl2br w:val="nil"/>
              <w:tr2bl w:val="nil"/>
            </w:tcBorders>
          </w:tcPr>
          <w:p>
            <w:pPr>
              <w:keepNext w:val="0"/>
              <w:keepLines w:val="0"/>
              <w:widowControl/>
              <w:suppressLineNumbers w:val="0"/>
              <w:jc w:val="left"/>
              <w:rPr>
                <w:rFonts w:hint="eastAsia" w:ascii="宋体" w:hAnsi="宋体" w:eastAsia="宋体" w:cs="宋体"/>
                <w:b/>
                <w:color w:val="000000"/>
                <w:kern w:val="0"/>
                <w:sz w:val="24"/>
                <w:szCs w:val="24"/>
                <w:vertAlign w:val="baseline"/>
                <w:lang w:val="en-US" w:eastAsia="zh-CN" w:bidi="ar"/>
              </w:rPr>
            </w:pPr>
            <w:r>
              <w:drawing>
                <wp:inline distT="0" distB="0" distL="114300" distR="114300">
                  <wp:extent cx="2903855" cy="2155190"/>
                  <wp:effectExtent l="0" t="0" r="10795" b="165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2903855" cy="2155190"/>
                          </a:xfrm>
                          <a:prstGeom prst="rect">
                            <a:avLst/>
                          </a:prstGeom>
                          <a:noFill/>
                          <a:ln>
                            <a:noFill/>
                          </a:ln>
                        </pic:spPr>
                      </pic:pic>
                    </a:graphicData>
                  </a:graphic>
                </wp:inline>
              </w:drawing>
            </w:r>
          </w:p>
        </w:tc>
        <w:tc>
          <w:tcPr>
            <w:tcW w:w="4740" w:type="dxa"/>
            <w:tcBorders>
              <w:tl2br w:val="nil"/>
              <w:tr2bl w:val="nil"/>
            </w:tcBorders>
          </w:tcPr>
          <w:p>
            <w:pPr>
              <w:keepNext w:val="0"/>
              <w:keepLines w:val="0"/>
              <w:widowControl/>
              <w:suppressLineNumbers w:val="0"/>
              <w:jc w:val="left"/>
              <w:rPr>
                <w:rFonts w:hint="eastAsia" w:ascii="宋体" w:hAnsi="宋体" w:eastAsia="宋体" w:cs="宋体"/>
                <w:b/>
                <w:color w:val="000000"/>
                <w:kern w:val="0"/>
                <w:sz w:val="24"/>
                <w:szCs w:val="24"/>
                <w:vertAlign w:val="baseline"/>
                <w:lang w:val="en-US" w:eastAsia="zh-CN" w:bidi="ar"/>
              </w:rPr>
            </w:pPr>
            <w:r>
              <w:drawing>
                <wp:inline distT="0" distB="0" distL="114300" distR="114300">
                  <wp:extent cx="2853690" cy="2164715"/>
                  <wp:effectExtent l="0" t="0" r="381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2853690" cy="2164715"/>
                          </a:xfrm>
                          <a:prstGeom prst="rect">
                            <a:avLst/>
                          </a:prstGeom>
                          <a:noFill/>
                          <a:ln>
                            <a:noFill/>
                          </a:ln>
                        </pic:spPr>
                      </pic:pic>
                    </a:graphicData>
                  </a:graphic>
                </wp:inline>
              </w:drawing>
            </w:r>
          </w:p>
        </w:tc>
        <w:tc>
          <w:tcPr>
            <w:tcW w:w="4740" w:type="dxa"/>
            <w:tcBorders>
              <w:tl2br w:val="nil"/>
              <w:tr2bl w:val="nil"/>
            </w:tcBorders>
          </w:tcPr>
          <w:p>
            <w:pPr>
              <w:keepNext w:val="0"/>
              <w:keepLines w:val="0"/>
              <w:widowControl/>
              <w:suppressLineNumbers w:val="0"/>
              <w:jc w:val="left"/>
              <w:rPr>
                <w:rFonts w:hint="eastAsia" w:ascii="宋体" w:hAnsi="宋体" w:eastAsia="宋体" w:cs="宋体"/>
                <w:b/>
                <w:color w:val="000000"/>
                <w:kern w:val="0"/>
                <w:sz w:val="24"/>
                <w:szCs w:val="24"/>
                <w:vertAlign w:val="baseline"/>
                <w:lang w:val="en-US" w:eastAsia="zh-CN" w:bidi="ar"/>
              </w:rPr>
            </w:pPr>
            <w:r>
              <w:drawing>
                <wp:inline distT="0" distB="0" distL="114300" distR="114300">
                  <wp:extent cx="2731135" cy="2036445"/>
                  <wp:effectExtent l="0" t="0" r="1206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2731135" cy="2036445"/>
                          </a:xfrm>
                          <a:prstGeom prst="rect">
                            <a:avLst/>
                          </a:prstGeom>
                          <a:noFill/>
                          <a:ln>
                            <a:noFill/>
                          </a:ln>
                        </pic:spPr>
                      </pic:pic>
                    </a:graphicData>
                  </a:graphic>
                </wp:inline>
              </w:drawing>
            </w:r>
          </w:p>
        </w:tc>
      </w:tr>
    </w:tbl>
    <w:p>
      <w:pPr>
        <w:keepNext w:val="0"/>
        <w:keepLines w:val="0"/>
        <w:pageBreakBefore w:val="0"/>
        <w:widowControl w:val="0"/>
        <w:kinsoku/>
        <w:wordWrap/>
        <w:overflowPunct/>
        <w:topLinePunct w:val="0"/>
        <w:autoSpaceDE/>
        <w:autoSpaceDN/>
        <w:bidi w:val="0"/>
        <w:adjustRightInd/>
        <w:snapToGrid/>
        <w:spacing w:line="240" w:lineRule="auto"/>
        <w:textAlignment w:val="auto"/>
      </w:pPr>
    </w:p>
    <w:p>
      <w:pPr>
        <w:spacing w:line="360" w:lineRule="auto"/>
        <w:ind w:firstLine="551" w:firstLineChars="196"/>
        <w:jc w:val="left"/>
        <w:rPr>
          <w:rFonts w:hint="eastAsia" w:ascii="宋体" w:hAnsi="宋体"/>
          <w:b/>
          <w:bCs/>
          <w:sz w:val="28"/>
          <w:szCs w:val="28"/>
          <w:lang w:val="en-US" w:eastAsia="zh-CN"/>
        </w:rPr>
      </w:pPr>
      <w:r>
        <w:rPr>
          <w:rFonts w:hint="eastAsia" w:ascii="宋体" w:hAnsi="宋体"/>
          <w:b/>
          <w:bCs/>
          <w:sz w:val="28"/>
          <w:szCs w:val="28"/>
          <w:lang w:val="en-US" w:eastAsia="zh-CN"/>
        </w:rPr>
        <w:t>设备支持</w:t>
      </w:r>
    </w:p>
    <w:p>
      <w:pPr>
        <w:spacing w:line="360" w:lineRule="auto"/>
        <w:ind w:firstLine="548" w:firstLineChars="196"/>
        <w:jc w:val="left"/>
        <w:rPr>
          <w:rFonts w:hint="eastAsia" w:ascii="宋体" w:hAnsi="宋体"/>
          <w:sz w:val="28"/>
          <w:szCs w:val="28"/>
        </w:rPr>
      </w:pPr>
      <w:r>
        <w:rPr>
          <w:rFonts w:hint="eastAsia" w:ascii="宋体" w:hAnsi="宋体"/>
          <w:sz w:val="28"/>
          <w:szCs w:val="28"/>
          <w:lang w:val="en-US" w:eastAsia="zh-CN"/>
        </w:rPr>
        <w:t>投入 300 余万元进行试验现场的升级改造工作，建立了统一的标准测试工位，进行相应改造，配备相关设施和测试设备。近三年，为试验室配置先进的电子测量设备 20 余套，金额达 3000 余万元。同时，设立星级现场专项经费，为现场管理推进提供了足够的支持。</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pPr>
      <w:r>
        <w:drawing>
          <wp:inline distT="0" distB="0" distL="114300" distR="114300">
            <wp:extent cx="4876800" cy="50387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4876800" cy="5038725"/>
                    </a:xfrm>
                    <a:prstGeom prst="rect">
                      <a:avLst/>
                    </a:prstGeom>
                    <a:noFill/>
                    <a:ln>
                      <a:noFill/>
                    </a:ln>
                  </pic:spPr>
                </pic:pic>
              </a:graphicData>
            </a:graphic>
          </wp:inline>
        </w:drawing>
      </w:r>
      <w:r>
        <w:drawing>
          <wp:inline distT="0" distB="0" distL="114300" distR="114300">
            <wp:extent cx="5105400" cy="49720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5105400" cy="4972050"/>
                    </a:xfrm>
                    <a:prstGeom prst="rect">
                      <a:avLst/>
                    </a:prstGeom>
                    <a:noFill/>
                    <a:ln>
                      <a:noFill/>
                    </a:ln>
                  </pic:spPr>
                </pic:pic>
              </a:graphicData>
            </a:graphic>
          </wp:inline>
        </w:drawing>
      </w:r>
    </w:p>
    <w:p>
      <w:pPr>
        <w:spacing w:line="360" w:lineRule="auto"/>
        <w:ind w:firstLine="548" w:firstLineChars="196"/>
        <w:jc w:val="left"/>
        <w:rPr>
          <w:rFonts w:hint="eastAsia" w:ascii="宋体" w:hAnsi="宋体"/>
          <w:sz w:val="28"/>
          <w:szCs w:val="28"/>
        </w:rPr>
      </w:pPr>
      <w:r>
        <w:rPr>
          <w:rFonts w:hint="eastAsia" w:ascii="宋体" w:hAnsi="宋体"/>
          <w:sz w:val="28"/>
          <w:szCs w:val="28"/>
          <w:lang w:val="en-US" w:eastAsia="zh-CN"/>
        </w:rPr>
        <w:t>此外公司配备 3 个研发测试实验室、</w:t>
      </w:r>
      <w:r>
        <w:rPr>
          <w:rFonts w:hint="default" w:ascii="宋体" w:hAnsi="宋体"/>
          <w:sz w:val="28"/>
          <w:szCs w:val="28"/>
          <w:lang w:val="en-US" w:eastAsia="zh-CN"/>
        </w:rPr>
        <w:t xml:space="preserve">1 </w:t>
      </w:r>
      <w:r>
        <w:rPr>
          <w:rFonts w:hint="eastAsia" w:ascii="宋体" w:hAnsi="宋体"/>
          <w:sz w:val="28"/>
          <w:szCs w:val="28"/>
          <w:lang w:val="en-US" w:eastAsia="zh-CN"/>
        </w:rPr>
        <w:t xml:space="preserve">个宇航芯片存储装备室以及 </w:t>
      </w:r>
      <w:r>
        <w:rPr>
          <w:rFonts w:hint="default" w:ascii="宋体" w:hAnsi="宋体"/>
          <w:sz w:val="28"/>
          <w:szCs w:val="28"/>
          <w:lang w:val="en-US" w:eastAsia="zh-CN"/>
        </w:rPr>
        <w:t xml:space="preserve">1 </w:t>
      </w:r>
      <w:r>
        <w:rPr>
          <w:rFonts w:hint="eastAsia" w:ascii="宋体" w:hAnsi="宋体"/>
          <w:sz w:val="28"/>
          <w:szCs w:val="28"/>
          <w:lang w:val="en-US" w:eastAsia="zh-CN"/>
        </w:rPr>
        <w:t xml:space="preserve">个临时任务电装车间 </w:t>
      </w:r>
    </w:p>
    <w:p>
      <w:pPr>
        <w:spacing w:line="360" w:lineRule="auto"/>
        <w:ind w:firstLine="548" w:firstLineChars="196"/>
        <w:jc w:val="left"/>
        <w:rPr>
          <w:rFonts w:hint="eastAsia" w:ascii="宋体" w:hAnsi="宋体"/>
          <w:sz w:val="28"/>
          <w:szCs w:val="28"/>
        </w:rPr>
      </w:pPr>
      <w:r>
        <w:rPr>
          <w:rFonts w:hint="eastAsia" w:ascii="宋体" w:hAnsi="宋体"/>
          <w:sz w:val="28"/>
          <w:szCs w:val="28"/>
          <w:lang w:val="en-US" w:eastAsia="zh-CN"/>
        </w:rPr>
        <w:t>第一实验室：用于测控、检测业务研发使用</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pPr>
      <w:r>
        <w:drawing>
          <wp:inline distT="0" distB="0" distL="114300" distR="114300">
            <wp:extent cx="8772525" cy="5667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8772525" cy="5667375"/>
                    </a:xfrm>
                    <a:prstGeom prst="rect">
                      <a:avLst/>
                    </a:prstGeom>
                    <a:noFill/>
                    <a:ln>
                      <a:noFill/>
                    </a:ln>
                  </pic:spPr>
                </pic:pic>
              </a:graphicData>
            </a:graphic>
          </wp:inline>
        </w:drawing>
      </w:r>
    </w:p>
    <w:p>
      <w:pPr>
        <w:spacing w:line="360" w:lineRule="auto"/>
        <w:ind w:firstLine="548" w:firstLineChars="196"/>
        <w:jc w:val="left"/>
        <w:rPr>
          <w:rFonts w:hint="default" w:ascii="宋体" w:hAnsi="宋体"/>
          <w:sz w:val="28"/>
          <w:szCs w:val="28"/>
          <w:lang w:val="en-US"/>
        </w:rPr>
      </w:pPr>
      <w:r>
        <w:rPr>
          <w:rFonts w:hint="eastAsia" w:ascii="宋体" w:hAnsi="宋体"/>
          <w:sz w:val="28"/>
          <w:szCs w:val="28"/>
          <w:lang w:val="en-US" w:eastAsia="zh-CN"/>
        </w:rPr>
        <w:t>第二实验室：用于防务装备等产品研发测试使用。</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pPr>
      <w:r>
        <w:drawing>
          <wp:inline distT="0" distB="0" distL="114300" distR="114300">
            <wp:extent cx="8891270" cy="6041390"/>
            <wp:effectExtent l="0" t="0" r="5080"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8891270" cy="6041390"/>
                    </a:xfrm>
                    <a:prstGeom prst="rect">
                      <a:avLst/>
                    </a:prstGeom>
                    <a:noFill/>
                    <a:ln>
                      <a:noFill/>
                    </a:ln>
                  </pic:spPr>
                </pic:pic>
              </a:graphicData>
            </a:graphic>
          </wp:inline>
        </w:drawing>
      </w:r>
    </w:p>
    <w:p>
      <w:pPr>
        <w:spacing w:line="360" w:lineRule="auto"/>
        <w:ind w:firstLine="548" w:firstLineChars="196"/>
        <w:jc w:val="left"/>
        <w:rPr>
          <w:rFonts w:hint="eastAsia" w:ascii="宋体" w:hAnsi="宋体"/>
          <w:sz w:val="28"/>
          <w:szCs w:val="28"/>
          <w:lang w:val="en-US" w:eastAsia="zh-CN"/>
        </w:rPr>
      </w:pPr>
      <w:r>
        <w:rPr>
          <w:rFonts w:hint="eastAsia" w:ascii="宋体" w:hAnsi="宋体"/>
          <w:sz w:val="28"/>
          <w:szCs w:val="28"/>
          <w:lang w:val="en-US" w:eastAsia="zh-CN"/>
        </w:rPr>
        <w:t>第</w:t>
      </w:r>
      <w:r>
        <w:rPr>
          <w:rFonts w:hint="eastAsia" w:ascii="宋体" w:hAnsi="宋体"/>
          <w:sz w:val="28"/>
          <w:szCs w:val="28"/>
          <w:lang w:val="en-US" w:eastAsia="zh-CN"/>
        </w:rPr>
        <w:t>三实验室：用于芯片研发测试使用。</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pPr>
      <w:r>
        <w:drawing>
          <wp:inline distT="0" distB="0" distL="114300" distR="114300">
            <wp:extent cx="8889365" cy="6680200"/>
            <wp:effectExtent l="0" t="0" r="6985"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8889365" cy="6680200"/>
                    </a:xfrm>
                    <a:prstGeom prst="rect">
                      <a:avLst/>
                    </a:prstGeom>
                    <a:noFill/>
                    <a:ln>
                      <a:noFill/>
                    </a:ln>
                  </pic:spPr>
                </pic:pic>
              </a:graphicData>
            </a:graphic>
          </wp:inline>
        </w:drawing>
      </w:r>
    </w:p>
    <w:p>
      <w:pPr>
        <w:spacing w:line="360" w:lineRule="auto"/>
        <w:ind w:firstLine="548" w:firstLineChars="196"/>
        <w:jc w:val="left"/>
        <w:rPr>
          <w:rFonts w:hint="eastAsia" w:ascii="宋体" w:hAnsi="宋体"/>
          <w:sz w:val="28"/>
          <w:szCs w:val="28"/>
        </w:rPr>
      </w:pPr>
      <w:r>
        <w:rPr>
          <w:rFonts w:hint="eastAsia" w:ascii="宋体" w:hAnsi="宋体"/>
          <w:sz w:val="28"/>
          <w:szCs w:val="28"/>
          <w:lang w:val="en-US" w:eastAsia="zh-CN"/>
        </w:rPr>
        <w:t>第四实验室：用于成品宇航级芯片存储。</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pPr>
      <w:r>
        <w:drawing>
          <wp:inline distT="0" distB="0" distL="114300" distR="114300">
            <wp:extent cx="8885555" cy="6092190"/>
            <wp:effectExtent l="0" t="0" r="1079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8885555" cy="6092190"/>
                    </a:xfrm>
                    <a:prstGeom prst="rect">
                      <a:avLst/>
                    </a:prstGeom>
                    <a:noFill/>
                    <a:ln>
                      <a:noFill/>
                    </a:ln>
                  </pic:spPr>
                </pic:pic>
              </a:graphicData>
            </a:graphic>
          </wp:inline>
        </w:drawing>
      </w:r>
    </w:p>
    <w:p>
      <w:pPr>
        <w:spacing w:line="360" w:lineRule="auto"/>
        <w:ind w:firstLine="548" w:firstLineChars="196"/>
        <w:jc w:val="left"/>
        <w:rPr>
          <w:rFonts w:hint="eastAsia" w:ascii="宋体" w:hAnsi="宋体"/>
          <w:sz w:val="28"/>
          <w:szCs w:val="28"/>
        </w:rPr>
      </w:pPr>
      <w:r>
        <w:rPr>
          <w:rFonts w:hint="eastAsia" w:ascii="宋体" w:hAnsi="宋体"/>
          <w:sz w:val="28"/>
          <w:szCs w:val="28"/>
          <w:lang w:val="en-US" w:eastAsia="zh-CN"/>
        </w:rPr>
        <w:t>临时任务电装车间：用于研发阶段产品的临时修改等电装操作。</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pPr>
      <w:r>
        <w:drawing>
          <wp:inline distT="0" distB="0" distL="114300" distR="114300">
            <wp:extent cx="8889365" cy="6336665"/>
            <wp:effectExtent l="0" t="0" r="6985"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8889365" cy="6336665"/>
                    </a:xfrm>
                    <a:prstGeom prst="rect">
                      <a:avLst/>
                    </a:prstGeom>
                    <a:noFill/>
                    <a:ln>
                      <a:noFill/>
                    </a:ln>
                  </pic:spPr>
                </pic:pic>
              </a:graphicData>
            </a:graphic>
          </wp:inline>
        </w:drawing>
      </w:r>
    </w:p>
    <w:p>
      <w:pPr>
        <w:spacing w:line="360" w:lineRule="auto"/>
        <w:ind w:firstLine="548" w:firstLineChars="196"/>
        <w:jc w:val="left"/>
        <w:rPr>
          <w:rFonts w:hint="eastAsia" w:ascii="宋体" w:hAnsi="宋体"/>
          <w:sz w:val="28"/>
          <w:szCs w:val="28"/>
        </w:rPr>
      </w:pPr>
      <w:r>
        <w:rPr>
          <w:rFonts w:hint="eastAsia" w:ascii="宋体" w:hAnsi="宋体"/>
          <w:sz w:val="28"/>
          <w:szCs w:val="28"/>
          <w:lang w:val="en-US" w:eastAsia="zh-CN"/>
        </w:rPr>
        <w:t>电装生产现场（简称三车间）主要承担航天器控制与推进分系统各类电子线路和机电类产品的电装、固封任务。同时负责单机产品电装及固封工艺技术研发工作。具备一批高质量的工艺、技能人才和先进的生产设备，有丰富的航天电子产品制造经验。现场拥有 5 个工种。</w:t>
      </w:r>
      <w:r>
        <w:rPr>
          <w:rFonts w:hint="eastAsia" w:ascii="宋体" w:hAnsi="宋体"/>
          <w:b/>
          <w:bCs/>
          <w:sz w:val="28"/>
          <w:szCs w:val="28"/>
          <w:lang w:val="en-US" w:eastAsia="zh-CN"/>
        </w:rPr>
        <w:t>获得国家五星级生产现场以及集团公司五星级生产现场</w:t>
      </w:r>
      <w:r>
        <w:rPr>
          <w:rFonts w:hint="eastAsia" w:ascii="宋体" w:hAnsi="宋体"/>
          <w:sz w:val="28"/>
          <w:szCs w:val="28"/>
          <w:lang w:val="en-US" w:eastAsia="zh-CN"/>
        </w:rPr>
        <w:t xml:space="preserve">。 </w:t>
      </w:r>
    </w:p>
    <w:p>
      <w:pPr>
        <w:spacing w:line="360" w:lineRule="auto"/>
        <w:ind w:firstLine="548" w:firstLineChars="196"/>
        <w:jc w:val="left"/>
        <w:rPr>
          <w:rFonts w:hint="eastAsia" w:ascii="宋体" w:hAnsi="宋体"/>
          <w:sz w:val="28"/>
          <w:szCs w:val="28"/>
          <w:lang w:val="en-US" w:eastAsia="zh-CN"/>
        </w:rPr>
      </w:pPr>
      <w:r>
        <w:rPr>
          <w:rFonts w:hint="eastAsia" w:ascii="宋体" w:hAnsi="宋体"/>
          <w:sz w:val="28"/>
          <w:szCs w:val="28"/>
          <w:lang w:val="en-US" w:eastAsia="zh-CN"/>
        </w:rPr>
        <w:t>拥有先进的电装、固封生产设备、检测设备和贮存设备，生产现场主要为 10 万级防静电洁净环境，工艺技术先进，计量检测手段完善，加工种类齐全。</w:t>
      </w:r>
    </w:p>
    <w:tbl>
      <w:tblPr>
        <w:tblStyle w:val="8"/>
        <w:tblW w:w="1421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7109"/>
        <w:gridCol w:w="71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Ex>
        <w:tc>
          <w:tcPr>
            <w:tcW w:w="7109" w:type="dxa"/>
            <w:tcBorders>
              <w:tl2br w:val="nil"/>
              <w:tr2bl w:val="nil"/>
            </w:tcBorders>
          </w:tcPr>
          <w:p>
            <w:pPr>
              <w:keepNext w:val="0"/>
              <w:keepLines w:val="0"/>
              <w:widowControl/>
              <w:suppressLineNumbers w:val="0"/>
              <w:jc w:val="left"/>
              <w:rPr>
                <w:rFonts w:hint="eastAsia" w:ascii="宋体" w:hAnsi="宋体" w:eastAsia="宋体" w:cs="宋体"/>
                <w:color w:val="000000"/>
                <w:kern w:val="0"/>
                <w:sz w:val="24"/>
                <w:szCs w:val="24"/>
                <w:vertAlign w:val="baseline"/>
                <w:lang w:val="en-US" w:eastAsia="zh-CN" w:bidi="ar"/>
              </w:rPr>
            </w:pPr>
            <w:r>
              <w:drawing>
                <wp:inline distT="0" distB="0" distL="114300" distR="114300">
                  <wp:extent cx="4794885" cy="5204460"/>
                  <wp:effectExtent l="0" t="0" r="5715"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4794885" cy="5204460"/>
                          </a:xfrm>
                          <a:prstGeom prst="rect">
                            <a:avLst/>
                          </a:prstGeom>
                          <a:noFill/>
                          <a:ln>
                            <a:noFill/>
                          </a:ln>
                        </pic:spPr>
                      </pic:pic>
                    </a:graphicData>
                  </a:graphic>
                </wp:inline>
              </w:drawing>
            </w:r>
          </w:p>
        </w:tc>
        <w:tc>
          <w:tcPr>
            <w:tcW w:w="7110" w:type="dxa"/>
            <w:tcBorders>
              <w:tl2br w:val="nil"/>
              <w:tr2bl w:val="nil"/>
            </w:tcBorders>
          </w:tcPr>
          <w:p>
            <w:pPr>
              <w:keepNext w:val="0"/>
              <w:keepLines w:val="0"/>
              <w:widowControl/>
              <w:suppressLineNumbers w:val="0"/>
              <w:jc w:val="left"/>
              <w:rPr>
                <w:rFonts w:hint="eastAsia" w:ascii="宋体" w:hAnsi="宋体" w:eastAsia="宋体" w:cs="宋体"/>
                <w:color w:val="000000"/>
                <w:kern w:val="0"/>
                <w:sz w:val="24"/>
                <w:szCs w:val="24"/>
                <w:vertAlign w:val="baseline"/>
                <w:lang w:val="en-US" w:eastAsia="zh-CN" w:bidi="ar"/>
              </w:rPr>
            </w:pPr>
            <w:r>
              <w:drawing>
                <wp:inline distT="0" distB="0" distL="114300" distR="114300">
                  <wp:extent cx="4622800" cy="5133340"/>
                  <wp:effectExtent l="0" t="0" r="6350"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tretch>
                            <a:fillRect/>
                          </a:stretch>
                        </pic:blipFill>
                        <pic:spPr>
                          <a:xfrm>
                            <a:off x="0" y="0"/>
                            <a:ext cx="4622800" cy="5133340"/>
                          </a:xfrm>
                          <a:prstGeom prst="rect">
                            <a:avLst/>
                          </a:prstGeom>
                          <a:noFill/>
                          <a:ln>
                            <a:noFill/>
                          </a:ln>
                        </pic:spPr>
                      </pic:pic>
                    </a:graphicData>
                  </a:graphic>
                </wp:inline>
              </w:drawing>
            </w:r>
          </w:p>
        </w:tc>
      </w:tr>
    </w:tbl>
    <w:p>
      <w:pPr>
        <w:keepNext w:val="0"/>
        <w:keepLines w:val="0"/>
        <w:widowControl/>
        <w:suppressLineNumbers w:val="0"/>
        <w:jc w:val="left"/>
        <w:rPr>
          <w:rFonts w:hint="eastAsia" w:ascii="宋体" w:hAnsi="宋体" w:eastAsia="宋体" w:cs="宋体"/>
          <w:color w:val="000000"/>
          <w:kern w:val="0"/>
          <w:sz w:val="24"/>
          <w:szCs w:val="24"/>
          <w:lang w:val="en-US" w:eastAsia="zh-CN" w:bidi="ar"/>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pPr>
    </w:p>
    <w:bookmarkEnd w:id="0"/>
    <w:p>
      <w:pPr>
        <w:jc w:val="right"/>
      </w:pPr>
    </w:p>
    <w:p>
      <w:pPr>
        <w:jc w:val="right"/>
      </w:pPr>
    </w:p>
    <w:sectPr>
      <w:headerReference r:id="rId3" w:type="default"/>
      <w:pgSz w:w="16838" w:h="11906" w:orient="landscape"/>
      <w:pgMar w:top="1418" w:right="1559" w:bottom="1276" w:left="1276" w:header="851" w:footer="992" w:gutter="0"/>
      <w:pgBorders>
        <w:top w:val="none" w:sz="0" w:space="0"/>
        <w:left w:val="none" w:sz="0" w:space="0"/>
        <w:bottom w:val="none" w:sz="0" w:space="0"/>
        <w:right w:val="none" w:sz="0" w:space="0"/>
      </w:pgBorders>
      <w:pgNumType w:fmt="numberInDash"/>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大标宋简体">
    <w:altName w:val="微软雅黑"/>
    <w:panose1 w:val="00000000000000000000"/>
    <w:charset w:val="86"/>
    <w:family w:val="auto"/>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方正小标宋简体">
    <w:altName w:val="方正舒体"/>
    <w:panose1 w:val="00000000000000000000"/>
    <w:charset w:val="86"/>
    <w:family w:val="auto"/>
    <w:pitch w:val="default"/>
    <w:sig w:usb0="00000000" w:usb1="00000000" w:usb2="00000012" w:usb3="00000000" w:csb0="00040001" w:csb1="00000000"/>
  </w:font>
  <w:font w:name="仿宋">
    <w:panose1 w:val="02010609060101010101"/>
    <w:charset w:val="86"/>
    <w:family w:val="auto"/>
    <w:pitch w:val="default"/>
    <w:sig w:usb0="800002BF" w:usb1="38CF7CFA" w:usb2="00000016" w:usb3="00000000" w:csb0="00040001" w:csb1="00000000"/>
  </w:font>
  <w:font w:name="方正舒体">
    <w:panose1 w:val="02010601030101010101"/>
    <w:charset w:val="86"/>
    <w:family w:val="auto"/>
    <w:pitch w:val="default"/>
    <w:sig w:usb0="00000003"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5A8B"/>
    <w:rsid w:val="00002878"/>
    <w:rsid w:val="0000461C"/>
    <w:rsid w:val="00007CE2"/>
    <w:rsid w:val="000141D9"/>
    <w:rsid w:val="0001643F"/>
    <w:rsid w:val="00022402"/>
    <w:rsid w:val="00025736"/>
    <w:rsid w:val="00030502"/>
    <w:rsid w:val="000338BC"/>
    <w:rsid w:val="000362EC"/>
    <w:rsid w:val="00036BE6"/>
    <w:rsid w:val="0004000A"/>
    <w:rsid w:val="0004133A"/>
    <w:rsid w:val="0004735A"/>
    <w:rsid w:val="00055FAD"/>
    <w:rsid w:val="000656B9"/>
    <w:rsid w:val="00085520"/>
    <w:rsid w:val="00085F9E"/>
    <w:rsid w:val="00086D66"/>
    <w:rsid w:val="00092919"/>
    <w:rsid w:val="000A296D"/>
    <w:rsid w:val="000A39D6"/>
    <w:rsid w:val="000B39DB"/>
    <w:rsid w:val="000B698C"/>
    <w:rsid w:val="000C3B5E"/>
    <w:rsid w:val="000C67E4"/>
    <w:rsid w:val="000C75A3"/>
    <w:rsid w:val="000C7BDD"/>
    <w:rsid w:val="000D35BD"/>
    <w:rsid w:val="000D5DA9"/>
    <w:rsid w:val="000E4295"/>
    <w:rsid w:val="000F65E1"/>
    <w:rsid w:val="001008A9"/>
    <w:rsid w:val="00100AF9"/>
    <w:rsid w:val="001167A7"/>
    <w:rsid w:val="0012022F"/>
    <w:rsid w:val="00126340"/>
    <w:rsid w:val="00137D9E"/>
    <w:rsid w:val="001425CB"/>
    <w:rsid w:val="00143F43"/>
    <w:rsid w:val="0014715A"/>
    <w:rsid w:val="001501DA"/>
    <w:rsid w:val="0015060E"/>
    <w:rsid w:val="00151842"/>
    <w:rsid w:val="0015222E"/>
    <w:rsid w:val="00154E62"/>
    <w:rsid w:val="00156130"/>
    <w:rsid w:val="00167D3A"/>
    <w:rsid w:val="00167D5D"/>
    <w:rsid w:val="0017385F"/>
    <w:rsid w:val="001763F0"/>
    <w:rsid w:val="00190A20"/>
    <w:rsid w:val="00196623"/>
    <w:rsid w:val="001A7DA7"/>
    <w:rsid w:val="001B1B52"/>
    <w:rsid w:val="001B332B"/>
    <w:rsid w:val="001B658E"/>
    <w:rsid w:val="001E51FD"/>
    <w:rsid w:val="001F1C96"/>
    <w:rsid w:val="001F1D8B"/>
    <w:rsid w:val="00204B66"/>
    <w:rsid w:val="00211585"/>
    <w:rsid w:val="00213230"/>
    <w:rsid w:val="00213305"/>
    <w:rsid w:val="00215728"/>
    <w:rsid w:val="002221E8"/>
    <w:rsid w:val="0022469C"/>
    <w:rsid w:val="00225700"/>
    <w:rsid w:val="00227313"/>
    <w:rsid w:val="0023633E"/>
    <w:rsid w:val="002467F1"/>
    <w:rsid w:val="002469D1"/>
    <w:rsid w:val="00247708"/>
    <w:rsid w:val="00251895"/>
    <w:rsid w:val="0025351D"/>
    <w:rsid w:val="0025441B"/>
    <w:rsid w:val="00257F3F"/>
    <w:rsid w:val="00267892"/>
    <w:rsid w:val="00267C0D"/>
    <w:rsid w:val="0027681B"/>
    <w:rsid w:val="00276BF4"/>
    <w:rsid w:val="00283967"/>
    <w:rsid w:val="002875B1"/>
    <w:rsid w:val="00297CB4"/>
    <w:rsid w:val="002B0296"/>
    <w:rsid w:val="002B3033"/>
    <w:rsid w:val="002D0588"/>
    <w:rsid w:val="002D1B57"/>
    <w:rsid w:val="002D6569"/>
    <w:rsid w:val="002E267E"/>
    <w:rsid w:val="002E42E3"/>
    <w:rsid w:val="002E7607"/>
    <w:rsid w:val="002F7F81"/>
    <w:rsid w:val="0030410E"/>
    <w:rsid w:val="0031071F"/>
    <w:rsid w:val="003123C6"/>
    <w:rsid w:val="00324F32"/>
    <w:rsid w:val="00325990"/>
    <w:rsid w:val="00334E33"/>
    <w:rsid w:val="00345596"/>
    <w:rsid w:val="003474AB"/>
    <w:rsid w:val="00350659"/>
    <w:rsid w:val="00357F45"/>
    <w:rsid w:val="0037654F"/>
    <w:rsid w:val="00387E4B"/>
    <w:rsid w:val="00393799"/>
    <w:rsid w:val="003A5671"/>
    <w:rsid w:val="003B1F27"/>
    <w:rsid w:val="003C5CEF"/>
    <w:rsid w:val="003C7E83"/>
    <w:rsid w:val="003D1590"/>
    <w:rsid w:val="003D4BE6"/>
    <w:rsid w:val="003E088E"/>
    <w:rsid w:val="003E1DA8"/>
    <w:rsid w:val="003F7E96"/>
    <w:rsid w:val="00403966"/>
    <w:rsid w:val="00414405"/>
    <w:rsid w:val="00420A34"/>
    <w:rsid w:val="0042465D"/>
    <w:rsid w:val="00426103"/>
    <w:rsid w:val="004364C8"/>
    <w:rsid w:val="00444656"/>
    <w:rsid w:val="00444A21"/>
    <w:rsid w:val="00445F48"/>
    <w:rsid w:val="00447613"/>
    <w:rsid w:val="00462227"/>
    <w:rsid w:val="00465664"/>
    <w:rsid w:val="00474FFD"/>
    <w:rsid w:val="00475A8B"/>
    <w:rsid w:val="00480035"/>
    <w:rsid w:val="004818EC"/>
    <w:rsid w:val="00495FF3"/>
    <w:rsid w:val="004A2654"/>
    <w:rsid w:val="004C03F1"/>
    <w:rsid w:val="004C43F6"/>
    <w:rsid w:val="004D09EB"/>
    <w:rsid w:val="004D2462"/>
    <w:rsid w:val="004D37D5"/>
    <w:rsid w:val="004E2340"/>
    <w:rsid w:val="004E2BC7"/>
    <w:rsid w:val="004F080C"/>
    <w:rsid w:val="004F5DFD"/>
    <w:rsid w:val="00500F92"/>
    <w:rsid w:val="0050451C"/>
    <w:rsid w:val="005064AA"/>
    <w:rsid w:val="005078D3"/>
    <w:rsid w:val="005162FE"/>
    <w:rsid w:val="005165A2"/>
    <w:rsid w:val="0052090A"/>
    <w:rsid w:val="00524CBA"/>
    <w:rsid w:val="00525EAB"/>
    <w:rsid w:val="0053117D"/>
    <w:rsid w:val="00537D1E"/>
    <w:rsid w:val="00547325"/>
    <w:rsid w:val="00556971"/>
    <w:rsid w:val="00557EC1"/>
    <w:rsid w:val="00562C55"/>
    <w:rsid w:val="005660AF"/>
    <w:rsid w:val="00567504"/>
    <w:rsid w:val="00570EA9"/>
    <w:rsid w:val="00581015"/>
    <w:rsid w:val="005839B4"/>
    <w:rsid w:val="005868AD"/>
    <w:rsid w:val="00594426"/>
    <w:rsid w:val="005A1080"/>
    <w:rsid w:val="005A7A73"/>
    <w:rsid w:val="005B21E6"/>
    <w:rsid w:val="005B4173"/>
    <w:rsid w:val="005B596D"/>
    <w:rsid w:val="005C00F3"/>
    <w:rsid w:val="005C2252"/>
    <w:rsid w:val="005C323E"/>
    <w:rsid w:val="005C4AF3"/>
    <w:rsid w:val="005D477C"/>
    <w:rsid w:val="005D668A"/>
    <w:rsid w:val="005E4DD5"/>
    <w:rsid w:val="006058CF"/>
    <w:rsid w:val="00611218"/>
    <w:rsid w:val="00616D15"/>
    <w:rsid w:val="006247C0"/>
    <w:rsid w:val="00625041"/>
    <w:rsid w:val="006316B8"/>
    <w:rsid w:val="00636723"/>
    <w:rsid w:val="00641C16"/>
    <w:rsid w:val="00643306"/>
    <w:rsid w:val="006516BB"/>
    <w:rsid w:val="006629FB"/>
    <w:rsid w:val="006671AB"/>
    <w:rsid w:val="0067291B"/>
    <w:rsid w:val="00677023"/>
    <w:rsid w:val="00680401"/>
    <w:rsid w:val="00681521"/>
    <w:rsid w:val="0068591A"/>
    <w:rsid w:val="00693D6A"/>
    <w:rsid w:val="006A4719"/>
    <w:rsid w:val="006B4BA3"/>
    <w:rsid w:val="006B5B36"/>
    <w:rsid w:val="006C7677"/>
    <w:rsid w:val="006D4C0E"/>
    <w:rsid w:val="006D7744"/>
    <w:rsid w:val="006E20F6"/>
    <w:rsid w:val="006E2C58"/>
    <w:rsid w:val="006E3A45"/>
    <w:rsid w:val="006E5CDD"/>
    <w:rsid w:val="006F0983"/>
    <w:rsid w:val="0070012E"/>
    <w:rsid w:val="0070431E"/>
    <w:rsid w:val="0071252F"/>
    <w:rsid w:val="00721A79"/>
    <w:rsid w:val="00736AAD"/>
    <w:rsid w:val="00740427"/>
    <w:rsid w:val="00740429"/>
    <w:rsid w:val="00743A9E"/>
    <w:rsid w:val="00747F4E"/>
    <w:rsid w:val="00751143"/>
    <w:rsid w:val="00755DFB"/>
    <w:rsid w:val="00755F32"/>
    <w:rsid w:val="00761B97"/>
    <w:rsid w:val="00766211"/>
    <w:rsid w:val="00776B10"/>
    <w:rsid w:val="007833F9"/>
    <w:rsid w:val="007862A0"/>
    <w:rsid w:val="007B019E"/>
    <w:rsid w:val="007B3ED7"/>
    <w:rsid w:val="007C150E"/>
    <w:rsid w:val="007C30E3"/>
    <w:rsid w:val="007C4852"/>
    <w:rsid w:val="007D2259"/>
    <w:rsid w:val="007E5608"/>
    <w:rsid w:val="007E671D"/>
    <w:rsid w:val="007F1131"/>
    <w:rsid w:val="00805C63"/>
    <w:rsid w:val="00806AF8"/>
    <w:rsid w:val="00806D44"/>
    <w:rsid w:val="00817323"/>
    <w:rsid w:val="008219AE"/>
    <w:rsid w:val="0083544B"/>
    <w:rsid w:val="0084052F"/>
    <w:rsid w:val="008425A5"/>
    <w:rsid w:val="008512E1"/>
    <w:rsid w:val="00871A75"/>
    <w:rsid w:val="0087410A"/>
    <w:rsid w:val="008840A0"/>
    <w:rsid w:val="00887FA0"/>
    <w:rsid w:val="00895F1A"/>
    <w:rsid w:val="008B0A16"/>
    <w:rsid w:val="008B10D4"/>
    <w:rsid w:val="008B2EBC"/>
    <w:rsid w:val="008B7399"/>
    <w:rsid w:val="008C4930"/>
    <w:rsid w:val="008C75A3"/>
    <w:rsid w:val="008E0B04"/>
    <w:rsid w:val="00900B12"/>
    <w:rsid w:val="00904BB7"/>
    <w:rsid w:val="00924E49"/>
    <w:rsid w:val="00925CE1"/>
    <w:rsid w:val="009305EB"/>
    <w:rsid w:val="00937650"/>
    <w:rsid w:val="00937E00"/>
    <w:rsid w:val="009427AA"/>
    <w:rsid w:val="0095184B"/>
    <w:rsid w:val="00952247"/>
    <w:rsid w:val="009543E7"/>
    <w:rsid w:val="00957508"/>
    <w:rsid w:val="00965ED5"/>
    <w:rsid w:val="00970EBE"/>
    <w:rsid w:val="00973F28"/>
    <w:rsid w:val="0097666F"/>
    <w:rsid w:val="00982C6C"/>
    <w:rsid w:val="00985434"/>
    <w:rsid w:val="009937C5"/>
    <w:rsid w:val="009A51D3"/>
    <w:rsid w:val="009A7913"/>
    <w:rsid w:val="009B185E"/>
    <w:rsid w:val="009B4162"/>
    <w:rsid w:val="009B6246"/>
    <w:rsid w:val="009C28BD"/>
    <w:rsid w:val="009C3D9A"/>
    <w:rsid w:val="009C48B8"/>
    <w:rsid w:val="009C579E"/>
    <w:rsid w:val="009D6423"/>
    <w:rsid w:val="009D6F28"/>
    <w:rsid w:val="009E7535"/>
    <w:rsid w:val="009F2617"/>
    <w:rsid w:val="009F6463"/>
    <w:rsid w:val="00A07E25"/>
    <w:rsid w:val="00A135AE"/>
    <w:rsid w:val="00A1535E"/>
    <w:rsid w:val="00A15E07"/>
    <w:rsid w:val="00A23054"/>
    <w:rsid w:val="00A3297A"/>
    <w:rsid w:val="00A32E8F"/>
    <w:rsid w:val="00A3382E"/>
    <w:rsid w:val="00A40108"/>
    <w:rsid w:val="00A44494"/>
    <w:rsid w:val="00A54AE6"/>
    <w:rsid w:val="00A570B5"/>
    <w:rsid w:val="00A7783D"/>
    <w:rsid w:val="00A84579"/>
    <w:rsid w:val="00A908D8"/>
    <w:rsid w:val="00A911AA"/>
    <w:rsid w:val="00AA1FB5"/>
    <w:rsid w:val="00AC4055"/>
    <w:rsid w:val="00AC6030"/>
    <w:rsid w:val="00AD1E0E"/>
    <w:rsid w:val="00AD6518"/>
    <w:rsid w:val="00AD6941"/>
    <w:rsid w:val="00AE1153"/>
    <w:rsid w:val="00AF0118"/>
    <w:rsid w:val="00B03E82"/>
    <w:rsid w:val="00B06EEA"/>
    <w:rsid w:val="00B12DD4"/>
    <w:rsid w:val="00B139F2"/>
    <w:rsid w:val="00B155EE"/>
    <w:rsid w:val="00B247D7"/>
    <w:rsid w:val="00B26EF0"/>
    <w:rsid w:val="00B3285A"/>
    <w:rsid w:val="00B33B7C"/>
    <w:rsid w:val="00B33E12"/>
    <w:rsid w:val="00B56234"/>
    <w:rsid w:val="00B740E5"/>
    <w:rsid w:val="00B7452F"/>
    <w:rsid w:val="00B81A2F"/>
    <w:rsid w:val="00B83B5E"/>
    <w:rsid w:val="00BA02F7"/>
    <w:rsid w:val="00BA4D10"/>
    <w:rsid w:val="00BA7D20"/>
    <w:rsid w:val="00BB6238"/>
    <w:rsid w:val="00BB67FF"/>
    <w:rsid w:val="00BC2B14"/>
    <w:rsid w:val="00BC51F7"/>
    <w:rsid w:val="00BC58EA"/>
    <w:rsid w:val="00BC5ABC"/>
    <w:rsid w:val="00BD2AAA"/>
    <w:rsid w:val="00BE0707"/>
    <w:rsid w:val="00BE6D50"/>
    <w:rsid w:val="00BE7F78"/>
    <w:rsid w:val="00BF35D3"/>
    <w:rsid w:val="00BF41E7"/>
    <w:rsid w:val="00C02DA4"/>
    <w:rsid w:val="00C05D03"/>
    <w:rsid w:val="00C063CD"/>
    <w:rsid w:val="00C14E08"/>
    <w:rsid w:val="00C15E9B"/>
    <w:rsid w:val="00C20205"/>
    <w:rsid w:val="00C20A63"/>
    <w:rsid w:val="00C23B72"/>
    <w:rsid w:val="00C23E5E"/>
    <w:rsid w:val="00C24963"/>
    <w:rsid w:val="00C26B19"/>
    <w:rsid w:val="00C30FBD"/>
    <w:rsid w:val="00C316B4"/>
    <w:rsid w:val="00C375F9"/>
    <w:rsid w:val="00C40EEA"/>
    <w:rsid w:val="00C57050"/>
    <w:rsid w:val="00C633CE"/>
    <w:rsid w:val="00C65E70"/>
    <w:rsid w:val="00C70D26"/>
    <w:rsid w:val="00C7176F"/>
    <w:rsid w:val="00C71F91"/>
    <w:rsid w:val="00C84D0A"/>
    <w:rsid w:val="00C85BC7"/>
    <w:rsid w:val="00C85E12"/>
    <w:rsid w:val="00C86A02"/>
    <w:rsid w:val="00C8706C"/>
    <w:rsid w:val="00C94BFF"/>
    <w:rsid w:val="00CA0C14"/>
    <w:rsid w:val="00CA6D80"/>
    <w:rsid w:val="00CA7703"/>
    <w:rsid w:val="00CB1A7F"/>
    <w:rsid w:val="00CC24DA"/>
    <w:rsid w:val="00CC358B"/>
    <w:rsid w:val="00CC3B3D"/>
    <w:rsid w:val="00CC7A5B"/>
    <w:rsid w:val="00CD3949"/>
    <w:rsid w:val="00CD3C9F"/>
    <w:rsid w:val="00CF547B"/>
    <w:rsid w:val="00CF7149"/>
    <w:rsid w:val="00CF78F2"/>
    <w:rsid w:val="00D05EFC"/>
    <w:rsid w:val="00D0760A"/>
    <w:rsid w:val="00D20EA8"/>
    <w:rsid w:val="00D25EBF"/>
    <w:rsid w:val="00D33611"/>
    <w:rsid w:val="00D359EA"/>
    <w:rsid w:val="00D373A9"/>
    <w:rsid w:val="00D4232C"/>
    <w:rsid w:val="00D5000A"/>
    <w:rsid w:val="00D53A02"/>
    <w:rsid w:val="00D544E1"/>
    <w:rsid w:val="00D57592"/>
    <w:rsid w:val="00D57BA4"/>
    <w:rsid w:val="00D64EA5"/>
    <w:rsid w:val="00D73070"/>
    <w:rsid w:val="00D768AB"/>
    <w:rsid w:val="00D816F6"/>
    <w:rsid w:val="00D81DD3"/>
    <w:rsid w:val="00D81FE7"/>
    <w:rsid w:val="00D82578"/>
    <w:rsid w:val="00D832F4"/>
    <w:rsid w:val="00D84B20"/>
    <w:rsid w:val="00D85DAF"/>
    <w:rsid w:val="00D91E1F"/>
    <w:rsid w:val="00DA33AE"/>
    <w:rsid w:val="00DB542A"/>
    <w:rsid w:val="00DB5D56"/>
    <w:rsid w:val="00DB63AF"/>
    <w:rsid w:val="00DB77BB"/>
    <w:rsid w:val="00DF3BE2"/>
    <w:rsid w:val="00DF3E93"/>
    <w:rsid w:val="00E00168"/>
    <w:rsid w:val="00E03B9D"/>
    <w:rsid w:val="00E07ABF"/>
    <w:rsid w:val="00E162FE"/>
    <w:rsid w:val="00E2099E"/>
    <w:rsid w:val="00E210A7"/>
    <w:rsid w:val="00E24D7A"/>
    <w:rsid w:val="00E3286A"/>
    <w:rsid w:val="00E332A3"/>
    <w:rsid w:val="00E377C9"/>
    <w:rsid w:val="00E378A5"/>
    <w:rsid w:val="00E409BE"/>
    <w:rsid w:val="00E4104E"/>
    <w:rsid w:val="00E42EE8"/>
    <w:rsid w:val="00E45FE3"/>
    <w:rsid w:val="00E52D49"/>
    <w:rsid w:val="00E54DA3"/>
    <w:rsid w:val="00E54E99"/>
    <w:rsid w:val="00E55B9E"/>
    <w:rsid w:val="00E57AB3"/>
    <w:rsid w:val="00E60CB7"/>
    <w:rsid w:val="00E63C04"/>
    <w:rsid w:val="00E63D9A"/>
    <w:rsid w:val="00E64834"/>
    <w:rsid w:val="00E674A9"/>
    <w:rsid w:val="00E67801"/>
    <w:rsid w:val="00E70BCD"/>
    <w:rsid w:val="00E71FFA"/>
    <w:rsid w:val="00E75794"/>
    <w:rsid w:val="00E81EB4"/>
    <w:rsid w:val="00E910EB"/>
    <w:rsid w:val="00E93E27"/>
    <w:rsid w:val="00EA2C67"/>
    <w:rsid w:val="00EB0575"/>
    <w:rsid w:val="00EB383F"/>
    <w:rsid w:val="00EB57BF"/>
    <w:rsid w:val="00EC28B6"/>
    <w:rsid w:val="00EC4A28"/>
    <w:rsid w:val="00EC5EE0"/>
    <w:rsid w:val="00EC60D3"/>
    <w:rsid w:val="00EC6DE7"/>
    <w:rsid w:val="00ED1BBA"/>
    <w:rsid w:val="00ED3055"/>
    <w:rsid w:val="00ED6442"/>
    <w:rsid w:val="00EE1454"/>
    <w:rsid w:val="00EF39A8"/>
    <w:rsid w:val="00EF4DBC"/>
    <w:rsid w:val="00F04D70"/>
    <w:rsid w:val="00F1190F"/>
    <w:rsid w:val="00F11B0E"/>
    <w:rsid w:val="00F33411"/>
    <w:rsid w:val="00F351DA"/>
    <w:rsid w:val="00F3560D"/>
    <w:rsid w:val="00F368EA"/>
    <w:rsid w:val="00F428F8"/>
    <w:rsid w:val="00F44EDF"/>
    <w:rsid w:val="00F476C7"/>
    <w:rsid w:val="00F74526"/>
    <w:rsid w:val="00F85949"/>
    <w:rsid w:val="00F870F7"/>
    <w:rsid w:val="00F97298"/>
    <w:rsid w:val="00FA04C3"/>
    <w:rsid w:val="00FA0C32"/>
    <w:rsid w:val="00FC5ABA"/>
    <w:rsid w:val="00FE067E"/>
    <w:rsid w:val="00FE1686"/>
    <w:rsid w:val="00FE1804"/>
    <w:rsid w:val="00FE317D"/>
    <w:rsid w:val="00FE5923"/>
    <w:rsid w:val="00FF09B9"/>
    <w:rsid w:val="00FF0E14"/>
    <w:rsid w:val="00FF333D"/>
    <w:rsid w:val="00FF6BB5"/>
    <w:rsid w:val="00FF74E0"/>
    <w:rsid w:val="0FB87DDA"/>
    <w:rsid w:val="170965A2"/>
    <w:rsid w:val="18303CBB"/>
    <w:rsid w:val="19931EB6"/>
    <w:rsid w:val="21AF414A"/>
    <w:rsid w:val="22003FAE"/>
    <w:rsid w:val="24C00E6B"/>
    <w:rsid w:val="262D66DC"/>
    <w:rsid w:val="2A097105"/>
    <w:rsid w:val="2A21021A"/>
    <w:rsid w:val="2A8453F3"/>
    <w:rsid w:val="2AC90642"/>
    <w:rsid w:val="2E902101"/>
    <w:rsid w:val="2ED6647B"/>
    <w:rsid w:val="31C754DD"/>
    <w:rsid w:val="34ED4E9C"/>
    <w:rsid w:val="36E93485"/>
    <w:rsid w:val="38640F6A"/>
    <w:rsid w:val="38BB1E79"/>
    <w:rsid w:val="3DA43393"/>
    <w:rsid w:val="400E719C"/>
    <w:rsid w:val="43BD3311"/>
    <w:rsid w:val="44CC5DE9"/>
    <w:rsid w:val="49BD092E"/>
    <w:rsid w:val="4B647629"/>
    <w:rsid w:val="4D2336E0"/>
    <w:rsid w:val="4DF1494B"/>
    <w:rsid w:val="4E555EE0"/>
    <w:rsid w:val="4F1667AC"/>
    <w:rsid w:val="4F5328B2"/>
    <w:rsid w:val="4FA41906"/>
    <w:rsid w:val="5023323D"/>
    <w:rsid w:val="55F36D31"/>
    <w:rsid w:val="62ED1F6F"/>
    <w:rsid w:val="658C3146"/>
    <w:rsid w:val="67627039"/>
    <w:rsid w:val="6B730C49"/>
    <w:rsid w:val="757D1D9D"/>
    <w:rsid w:val="75F57AEA"/>
    <w:rsid w:val="772A19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4"/>
    <w:qFormat/>
    <w:uiPriority w:val="9"/>
    <w:pPr>
      <w:keepNext/>
      <w:keepLines/>
      <w:spacing w:before="340" w:after="330" w:line="578" w:lineRule="auto"/>
      <w:jc w:val="center"/>
      <w:outlineLvl w:val="0"/>
    </w:pPr>
    <w:rPr>
      <w:rFonts w:eastAsia="方正大标宋简体"/>
      <w:b/>
      <w:bCs/>
      <w:kern w:val="44"/>
      <w:sz w:val="44"/>
      <w:szCs w:val="44"/>
    </w:rPr>
  </w:style>
  <w:style w:type="character" w:default="1" w:styleId="9">
    <w:name w:val="Default Paragraph Font"/>
    <w:semiHidden/>
    <w:unhideWhenUsed/>
    <w:uiPriority w:val="1"/>
  </w:style>
  <w:style w:type="table" w:default="1" w:styleId="7">
    <w:name w:val="Normal Table"/>
    <w:semiHidden/>
    <w:unhideWhenUsed/>
    <w:uiPriority w:val="99"/>
    <w:tblPr>
      <w:tblLayout w:type="fixed"/>
      <w:tblCellMar>
        <w:top w:w="0" w:type="dxa"/>
        <w:left w:w="108" w:type="dxa"/>
        <w:bottom w:w="0" w:type="dxa"/>
        <w:right w:w="108" w:type="dxa"/>
      </w:tblCellMar>
    </w:tblPr>
  </w:style>
  <w:style w:type="paragraph" w:styleId="3">
    <w:name w:val="Balloon Text"/>
    <w:basedOn w:val="1"/>
    <w:link w:val="13"/>
    <w:unhideWhenUsed/>
    <w:uiPriority w:val="99"/>
    <w:rPr>
      <w:kern w:val="0"/>
      <w:sz w:val="18"/>
      <w:szCs w:val="18"/>
    </w:rPr>
  </w:style>
  <w:style w:type="paragraph" w:styleId="4">
    <w:name w:val="footer"/>
    <w:basedOn w:val="1"/>
    <w:link w:val="12"/>
    <w:unhideWhenUsed/>
    <w:uiPriority w:val="99"/>
    <w:pPr>
      <w:tabs>
        <w:tab w:val="center" w:pos="4153"/>
        <w:tab w:val="right" w:pos="8306"/>
      </w:tabs>
      <w:snapToGrid w:val="0"/>
      <w:jc w:val="left"/>
    </w:pPr>
    <w:rPr>
      <w:rFonts w:eastAsia="Times New Roman"/>
      <w:kern w:val="0"/>
      <w:sz w:val="30"/>
      <w:szCs w:val="18"/>
    </w:rPr>
  </w:style>
  <w:style w:type="paragraph" w:styleId="5">
    <w:name w:val="header"/>
    <w:basedOn w:val="1"/>
    <w:link w:val="11"/>
    <w:unhideWhenUsed/>
    <w:uiPriority w:val="99"/>
    <w:pPr>
      <w:pBdr>
        <w:bottom w:val="single" w:color="auto" w:sz="6" w:space="1"/>
      </w:pBdr>
      <w:tabs>
        <w:tab w:val="center" w:pos="4153"/>
        <w:tab w:val="right" w:pos="8306"/>
      </w:tabs>
      <w:snapToGrid w:val="0"/>
      <w:jc w:val="center"/>
    </w:pPr>
    <w:rPr>
      <w:kern w:val="0"/>
      <w:sz w:val="18"/>
      <w:szCs w:val="18"/>
    </w:rPr>
  </w:style>
  <w:style w:type="paragraph" w:styleId="6">
    <w:name w:val="toc 1"/>
    <w:basedOn w:val="1"/>
    <w:next w:val="1"/>
    <w:unhideWhenUsed/>
    <w:uiPriority w:val="39"/>
  </w:style>
  <w:style w:type="table" w:styleId="8">
    <w:name w:val="Table Grid"/>
    <w:basedOn w:val="7"/>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0">
    <w:name w:val="Hyperlink"/>
    <w:unhideWhenUsed/>
    <w:uiPriority w:val="99"/>
    <w:rPr>
      <w:color w:val="0563C1"/>
      <w:u w:val="single"/>
    </w:rPr>
  </w:style>
  <w:style w:type="character" w:customStyle="1" w:styleId="11">
    <w:name w:val="页眉 字符"/>
    <w:link w:val="5"/>
    <w:uiPriority w:val="99"/>
    <w:rPr>
      <w:sz w:val="18"/>
      <w:szCs w:val="18"/>
    </w:rPr>
  </w:style>
  <w:style w:type="character" w:customStyle="1" w:styleId="12">
    <w:name w:val="页脚 字符"/>
    <w:link w:val="4"/>
    <w:uiPriority w:val="99"/>
    <w:rPr>
      <w:rFonts w:eastAsia="Times New Roman"/>
      <w:sz w:val="30"/>
      <w:szCs w:val="18"/>
    </w:rPr>
  </w:style>
  <w:style w:type="character" w:customStyle="1" w:styleId="13">
    <w:name w:val="批注框文本 字符"/>
    <w:link w:val="3"/>
    <w:semiHidden/>
    <w:uiPriority w:val="99"/>
    <w:rPr>
      <w:sz w:val="18"/>
      <w:szCs w:val="18"/>
    </w:rPr>
  </w:style>
  <w:style w:type="character" w:customStyle="1" w:styleId="14">
    <w:name w:val="标题 1 字符"/>
    <w:link w:val="2"/>
    <w:uiPriority w:val="9"/>
    <w:rPr>
      <w:rFonts w:eastAsia="方正大标宋简体"/>
      <w:b/>
      <w:bCs/>
      <w:kern w:val="44"/>
      <w:sz w:val="44"/>
      <w:szCs w:val="44"/>
    </w:rPr>
  </w:style>
  <w:style w:type="paragraph" w:customStyle="1" w:styleId="15">
    <w:name w:val="TOC 标题1"/>
    <w:basedOn w:val="2"/>
    <w:next w:val="1"/>
    <w:qFormat/>
    <w:uiPriority w:val="39"/>
    <w:pPr>
      <w:widowControl/>
      <w:spacing w:before="240" w:after="0" w:line="259" w:lineRule="auto"/>
      <w:jc w:val="left"/>
      <w:outlineLvl w:val="9"/>
    </w:pPr>
    <w:rPr>
      <w:rFonts w:ascii="Calibri Light" w:hAnsi="Calibri Light" w:eastAsia="宋体"/>
      <w:b w:val="0"/>
      <w:bCs w:val="0"/>
      <w:color w:val="2E74B5"/>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DC7"/>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Pages>
  <Words>91</Words>
  <Characters>522</Characters>
  <Lines>4</Lines>
  <Paragraphs>1</Paragraphs>
  <TotalTime>3</TotalTime>
  <ScaleCrop>false</ScaleCrop>
  <LinksUpToDate>false</LinksUpToDate>
  <CharactersWithSpaces>612</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2021-03-11T02:37:00Z</dcterms:created>
  <dc:creator>赵胜楠</dc:creator>
  <cp:lastModifiedBy>Administrator</cp:lastModifiedBy>
  <cp:lastPrinted>2020-12-07T12:19:00Z</cp:lastPrinted>
  <dcterms:modified xsi:type="dcterms:W3CDTF">2025-01-06T02:41:42Z</dcterms:modified>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y fmtid="{D5CDD505-2E9C-101B-9397-08002B2CF9AE}" pid="3" name="ICV">
    <vt:lpwstr>CA9EC959E727421193A7394223D396FB</vt:lpwstr>
  </property>
</Properties>
</file>